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BVGE 2025 VII/3 vom 14. März 2025</w:t>
      </w:r>
    </w:p>
    <w:p>
      <w:r>
        <w:t>Bundesverwaltungsgericht, 2025-03-14, FR</w:t>
      </w:r>
    </w:p>
    <w:p>
      <w:r>
        <w:rPr>
          <w:b/>
        </w:rPr>
        <w:t xml:space="preserve">Quelle: </w:t>
      </w:r>
      <w:r>
        <w:t>https://mcp.opencaselaw.ch/entscheid/bvger_BVGE 2025 VII_3</w:t>
      </w:r>
    </w:p>
    <w:p>
      <w:r>
        <w:t>FR: TAF BVGE 2025 VII/3 du 14 mars 2025</w:t>
      </w:r>
    </w:p>
    <w:p>
      <w:r>
        <w:t>IT: TAF BVGE 2025 VII/3 del 14 marzo 2025</w:t>
      </w:r>
    </w:p>
    <w:p>
      <w:pPr>
        <w:pStyle w:val="Heading2"/>
      </w:pPr>
      <w:r>
        <w:t>Regeste</w:t>
      </w:r>
    </w:p>
    <w:p>
      <w:r>
        <w:t>Familienzusammenführung (v.A.)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Unabhängigkeit von Ergänzungsleistungen als Nachzugsvoraussetzung: Prüfung unter Beizug der massgeblichen ELG-Bestimmungen (E. 5).</w:t>
      </w:r>
    </w:p>
    <w:p>
      <w:r>
        <w:rPr>
          <w:b/>
        </w:rPr>
        <w:t>E. 2</w:t>
      </w:r>
    </w:p>
    <w:p>
      <w:r>
        <w:t>Nichterfüllung der gesetzlichen Nachzugsvoraussetzung: Da sich Art. 85 aAbs. 7 Bst. e (neu Art. 85c Abs. 1 Bst. e) AIG mangels Rechtsfolgeermessens nicht konventionskonform auslegen lässt, kommt die EMRK unmittelbar zur Anwendung (E. 6).</w:t>
      </w:r>
    </w:p>
    <w:p>
      <w:r>
        <w:rPr>
          <w:b/>
        </w:rPr>
        <w:t>E. 3</w:t>
      </w:r>
    </w:p>
    <w:p>
      <w:r>
        <w:t>Vereinbarkeit der Nachzugsverweigerung wegen Abhängigkeit von Ergänzungsleistungen mit Art. 8 EMRK: Prüfsystematik (E. 7) und Interessenbemessung (E. 8) unter Berücksichtigung der Flüchtlingseigenschaft des vorläufig aufgenommenen Beschwerdeführers.</w:t>
      </w:r>
    </w:p>
    <w:p>
      <w:r>
        <w:t>Eidgenossenschaft Bundesverwaltungsgericht Conféderation Bundesverwaltungsgericht Confederazione Bundesverwaltungsgericht Abteilung VI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